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before="429" w:line="219" w:lineRule="auto"/>
        <w:outlineLvl w:val="0"/>
        <w:jc w:val="right"/>
        <w:rPr>
          <w:rFonts w:ascii="SimSun" w:hAnsi="SimSun" w:eastAsia="SimSun" w:cs="SimSun"/>
          <w:sz w:val="132"/>
          <w:szCs w:val="132"/>
        </w:rPr>
      </w:pPr>
      <w:r>
        <w:rPr>
          <w:rFonts w:ascii="SimSun" w:hAnsi="SimSun" w:eastAsia="SimSun" w:cs="SimSun"/>
          <w:sz w:val="132"/>
          <w:szCs w:val="132"/>
          <w:b/>
          <w:bCs/>
          <w:color w:val="D03030"/>
          <w:spacing w:val="-64"/>
          <w:w w:val="48"/>
        </w:rPr>
        <w:t>青岛西海岸新</w:t>
      </w:r>
      <w:r>
        <w:rPr>
          <w:rFonts w:ascii="SimSun" w:hAnsi="SimSun" w:eastAsia="SimSun" w:cs="SimSun"/>
          <w:sz w:val="132"/>
          <w:szCs w:val="132"/>
          <w:b/>
          <w:bCs/>
          <w:color w:val="D03030"/>
          <w:spacing w:val="-63"/>
          <w:w w:val="48"/>
        </w:rPr>
        <w:t>区发展和改革局文</w:t>
      </w:r>
      <w:r>
        <w:rPr>
          <w:rFonts w:ascii="SimSun" w:hAnsi="SimSun" w:eastAsia="SimSun" w:cs="SimSun"/>
          <w:sz w:val="132"/>
          <w:szCs w:val="132"/>
          <w:b/>
          <w:bCs/>
          <w:color w:val="D03030"/>
          <w:spacing w:val="-57"/>
          <w:w w:val="48"/>
        </w:rPr>
        <w:t>件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2600"/>
        <w:spacing w:before="101" w:line="222" w:lineRule="auto"/>
        <w:rPr/>
      </w:pPr>
      <w:r>
        <w:rPr>
          <w:spacing w:val="11"/>
        </w:rPr>
        <w:t>青西新发改〔2017〕170号</w:t>
      </w:r>
    </w:p>
    <w:p>
      <w:pPr>
        <w:ind w:firstLine="40"/>
        <w:spacing w:before="126" w:line="60" w:lineRule="exact"/>
        <w:rPr/>
      </w:pPr>
      <w:r>
        <w:rPr>
          <w:position w:val="-1"/>
        </w:rPr>
        <w:drawing>
          <wp:inline distT="0" distB="0" distL="0" distR="0">
            <wp:extent cx="5613449" cy="3809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3449" cy="3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36" w:right="1592" w:hanging="10"/>
        <w:spacing w:before="349" w:line="221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6"/>
        </w:rPr>
        <w:t>青岛西海岸新区发展和改革局</w:t>
      </w:r>
      <w:r>
        <w:rPr>
          <w:rFonts w:ascii="SimSun" w:hAnsi="SimSun" w:eastAsia="SimSun" w:cs="SimSun"/>
          <w:sz w:val="46"/>
          <w:szCs w:val="46"/>
          <w:spacing w:val="11"/>
        </w:rPr>
        <w:t xml:space="preserve"> </w:t>
      </w:r>
      <w:r>
        <w:rPr>
          <w:rFonts w:ascii="SimSun" w:hAnsi="SimSun" w:eastAsia="SimSun" w:cs="SimSun"/>
          <w:sz w:val="46"/>
          <w:szCs w:val="46"/>
          <w:b/>
          <w:bCs/>
          <w:spacing w:val="14"/>
        </w:rPr>
        <w:t>青岛西海岸新区城市管理局</w:t>
      </w:r>
    </w:p>
    <w:p>
      <w:pPr>
        <w:ind w:left="1666"/>
        <w:spacing w:before="1" w:line="218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2"/>
        </w:rPr>
        <w:t>青岛西海岸新区财</w:t>
      </w:r>
      <w:r>
        <w:rPr>
          <w:rFonts w:ascii="SimSun" w:hAnsi="SimSun" w:eastAsia="SimSun" w:cs="SimSun"/>
          <w:sz w:val="46"/>
          <w:szCs w:val="46"/>
          <w:spacing w:val="-22"/>
        </w:rPr>
        <w:t xml:space="preserve">   </w:t>
      </w:r>
      <w:r>
        <w:rPr>
          <w:rFonts w:ascii="SimSun" w:hAnsi="SimSun" w:eastAsia="SimSun" w:cs="SimSun"/>
          <w:sz w:val="46"/>
          <w:szCs w:val="46"/>
          <w:b/>
          <w:bCs/>
          <w:spacing w:val="-22"/>
        </w:rPr>
        <w:t>政</w:t>
      </w:r>
      <w:r>
        <w:rPr>
          <w:rFonts w:ascii="SimSun" w:hAnsi="SimSun" w:eastAsia="SimSun" w:cs="SimSun"/>
          <w:sz w:val="46"/>
          <w:szCs w:val="46"/>
          <w:spacing w:val="-22"/>
        </w:rPr>
        <w:t xml:space="preserve">   </w:t>
      </w:r>
      <w:r>
        <w:rPr>
          <w:rFonts w:ascii="SimSun" w:hAnsi="SimSun" w:eastAsia="SimSun" w:cs="SimSun"/>
          <w:sz w:val="46"/>
          <w:szCs w:val="46"/>
          <w:b/>
          <w:bCs/>
          <w:spacing w:val="-22"/>
        </w:rPr>
        <w:t>局</w:t>
      </w:r>
    </w:p>
    <w:p>
      <w:pPr>
        <w:ind w:left="1666"/>
        <w:spacing w:before="4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0"/>
        </w:rPr>
        <w:t>青岛西海岸新区民</w:t>
      </w:r>
      <w:r>
        <w:rPr>
          <w:rFonts w:ascii="SimSun" w:hAnsi="SimSun" w:eastAsia="SimSun" w:cs="SimSun"/>
          <w:sz w:val="46"/>
          <w:szCs w:val="46"/>
          <w:spacing w:val="77"/>
        </w:rPr>
        <w:t xml:space="preserve">  </w:t>
      </w:r>
      <w:r>
        <w:rPr>
          <w:rFonts w:ascii="SimSun" w:hAnsi="SimSun" w:eastAsia="SimSun" w:cs="SimSun"/>
          <w:sz w:val="46"/>
          <w:szCs w:val="46"/>
          <w:spacing w:val="-20"/>
        </w:rPr>
        <w:t>政   局</w:t>
      </w:r>
    </w:p>
    <w:p>
      <w:pPr>
        <w:ind w:left="696"/>
        <w:spacing w:before="113" w:line="218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3"/>
        </w:rPr>
        <w:t>关于调整城市居民用水阶梯价格的通知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right="125"/>
        <w:spacing w:before="101" w:line="311" w:lineRule="auto"/>
        <w:jc w:val="both"/>
        <w:rPr/>
      </w:pPr>
      <w:r>
        <w:rPr>
          <w:spacing w:val="6"/>
        </w:rPr>
        <w:t>青岛西海岸公用事业集团水务有限公司、青</w:t>
      </w:r>
      <w:r>
        <w:rPr>
          <w:spacing w:val="5"/>
        </w:rPr>
        <w:t>岛董家口经济区供水</w:t>
      </w:r>
      <w:r>
        <w:rPr/>
        <w:t xml:space="preserve"> </w:t>
      </w:r>
      <w:r>
        <w:rPr>
          <w:spacing w:val="6"/>
        </w:rPr>
        <w:t>有限公司、青岛灵山源泉水务有限公司、青岛大珠山供水服务有</w:t>
      </w:r>
      <w:r>
        <w:rPr>
          <w:spacing w:val="2"/>
        </w:rPr>
        <w:t xml:space="preserve"> </w:t>
      </w:r>
      <w:r>
        <w:rPr>
          <w:spacing w:val="-13"/>
        </w:rPr>
        <w:t>限公司：</w:t>
      </w:r>
    </w:p>
    <w:p>
      <w:pPr>
        <w:pStyle w:val="BodyText"/>
        <w:ind w:right="61" w:firstLine="630"/>
        <w:spacing w:before="65" w:line="328" w:lineRule="auto"/>
        <w:jc w:val="both"/>
        <w:rPr/>
      </w:pPr>
      <w:r>
        <w:rPr>
          <w:spacing w:val="19"/>
        </w:rPr>
        <w:t>鉴于上游原水价格上涨，根据城市供水上下</w:t>
      </w:r>
      <w:r>
        <w:rPr>
          <w:spacing w:val="18"/>
        </w:rPr>
        <w:t>游价格联动办</w:t>
      </w:r>
      <w:r>
        <w:rPr/>
        <w:t xml:space="preserve"> </w:t>
      </w:r>
      <w:r>
        <w:rPr>
          <w:spacing w:val="8"/>
        </w:rPr>
        <w:t>法，经管委同意，决定对我区城市居民用水阶梯价格进行调整。</w:t>
      </w:r>
      <w:r>
        <w:rPr>
          <w:spacing w:val="10"/>
        </w:rPr>
        <w:t xml:space="preserve"> </w:t>
      </w:r>
      <w:r>
        <w:rPr>
          <w:spacing w:val="3"/>
        </w:rPr>
        <w:t>现将有关事项通知如下：</w:t>
      </w:r>
    </w:p>
    <w:p>
      <w:pPr>
        <w:ind w:left="634"/>
        <w:spacing w:before="15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一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、调整城市居民用水阶梯价格</w:t>
      </w:r>
    </w:p>
    <w:p>
      <w:pPr>
        <w:pStyle w:val="BodyText"/>
        <w:ind w:right="119" w:firstLine="630"/>
        <w:spacing w:before="179" w:line="352" w:lineRule="auto"/>
        <w:rPr/>
      </w:pPr>
      <w:r>
        <w:rPr>
          <w:spacing w:val="23"/>
        </w:rPr>
        <w:t>城市居民户第一阶梯综合水价由每立方米3.35元(其中自</w:t>
      </w:r>
      <w:r>
        <w:rPr>
          <w:spacing w:val="2"/>
        </w:rPr>
        <w:t xml:space="preserve"> </w:t>
      </w:r>
      <w:r>
        <w:rPr>
          <w:spacing w:val="30"/>
        </w:rPr>
        <w:t>来水价格2.35元，污水处理费1.00元)调整</w:t>
      </w:r>
      <w:r>
        <w:rPr>
          <w:spacing w:val="29"/>
        </w:rPr>
        <w:t>为每立方米3.50</w:t>
      </w:r>
    </w:p>
    <w:p>
      <w:pPr>
        <w:spacing w:line="352" w:lineRule="auto"/>
        <w:sectPr>
          <w:pgSz w:w="11910" w:h="16850"/>
          <w:pgMar w:top="1432" w:right="1442" w:bottom="0" w:left="1489" w:header="0" w:footer="0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770"/>
        <w:spacing w:before="104" w:line="321" w:lineRule="auto"/>
        <w:jc w:val="both"/>
        <w:rPr>
          <w:sz w:val="32"/>
          <w:szCs w:val="32"/>
        </w:rPr>
      </w:pPr>
      <w:r>
        <w:rPr>
          <w:sz w:val="32"/>
          <w:szCs w:val="32"/>
          <w:spacing w:val="23"/>
        </w:rPr>
        <w:t>元(其中自来水价格2.50元，污水处理费1.00元)</w:t>
      </w:r>
      <w:r>
        <w:rPr>
          <w:sz w:val="32"/>
          <w:szCs w:val="32"/>
          <w:spacing w:val="22"/>
        </w:rPr>
        <w:t>;第二阶梯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2"/>
        </w:rPr>
        <w:t>户综合水价由每立方米4.35元(其中自来水价格3.35元，污水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16"/>
        </w:rPr>
        <w:t>处理费1.00元)调整为每立方米4.65元(其中自来水价格3.65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17"/>
        </w:rPr>
        <w:t>元，污水处理费1.00元);第三阶梯综合水价由每立方米7.25</w:t>
      </w:r>
      <w:r>
        <w:rPr>
          <w:sz w:val="32"/>
          <w:szCs w:val="32"/>
          <w:spacing w:val="13"/>
        </w:rPr>
        <w:t xml:space="preserve"> </w:t>
      </w:r>
      <w:r>
        <w:rPr>
          <w:sz w:val="32"/>
          <w:szCs w:val="32"/>
          <w:spacing w:val="17"/>
        </w:rPr>
        <w:t>元(其中自来水价格6.25元，污水处理费1.00元)调整为每立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18"/>
        </w:rPr>
        <w:t>方米8.00元(其中自来水价格7.00元，污水处理费1.00元)。</w:t>
      </w:r>
    </w:p>
    <w:p>
      <w:pPr>
        <w:ind w:left="1404"/>
        <w:spacing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"/>
        </w:rPr>
        <w:t>二、配套政策</w:t>
      </w:r>
    </w:p>
    <w:p>
      <w:pPr>
        <w:pStyle w:val="BodyText"/>
        <w:ind w:left="770" w:right="15" w:firstLine="799"/>
        <w:spacing w:before="187" w:line="323" w:lineRule="auto"/>
        <w:jc w:val="both"/>
        <w:rPr>
          <w:sz w:val="32"/>
          <w:szCs w:val="32"/>
        </w:rPr>
      </w:pPr>
      <w:r>
        <w:rPr>
          <w:sz w:val="32"/>
          <w:szCs w:val="32"/>
          <w:spacing w:val="4"/>
        </w:rPr>
        <w:t>(一)对区内持有《城市居民最低生活保障证》的城市低保</w:t>
      </w:r>
      <w:r>
        <w:rPr>
          <w:sz w:val="32"/>
          <w:szCs w:val="32"/>
          <w:spacing w:val="9"/>
        </w:rPr>
        <w:t xml:space="preserve"> </w:t>
      </w:r>
      <w:r>
        <w:rPr>
          <w:sz w:val="32"/>
          <w:szCs w:val="32"/>
          <w:spacing w:val="2"/>
        </w:rPr>
        <w:t>家庭生活用水补贴标准，由每户每年126.00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2"/>
        </w:rPr>
        <w:t>元调整为每户</w:t>
      </w:r>
      <w:r>
        <w:rPr>
          <w:sz w:val="32"/>
          <w:szCs w:val="32"/>
          <w:spacing w:val="1"/>
        </w:rPr>
        <w:t>每年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136.80元，按月通过社会化方式发放。</w:t>
      </w:r>
    </w:p>
    <w:p>
      <w:pPr>
        <w:pStyle w:val="BodyText"/>
        <w:ind w:left="770" w:right="17" w:firstLine="799"/>
        <w:spacing w:line="323" w:lineRule="auto"/>
        <w:rPr>
          <w:sz w:val="32"/>
          <w:szCs w:val="32"/>
        </w:rPr>
      </w:pPr>
      <w:r>
        <w:rPr>
          <w:sz w:val="32"/>
          <w:szCs w:val="32"/>
          <w:spacing w:val="10"/>
        </w:rPr>
        <w:t>(二)对城区内执行居民生活用水价格的非居民用户(包括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-4"/>
        </w:rPr>
        <w:t>部队、学校、托幼、社会福利场所及社区服务设施中非经营部分</w:t>
      </w:r>
    </w:p>
    <w:p>
      <w:pPr>
        <w:pStyle w:val="BodyText"/>
        <w:ind w:left="770" w:right="58" w:hanging="770"/>
        <w:spacing w:line="321" w:lineRule="auto"/>
        <w:rPr>
          <w:sz w:val="32"/>
          <w:szCs w:val="32"/>
        </w:rPr>
      </w:pPr>
      <w:r>
        <w:rPr>
          <w:rFonts w:ascii="SimHei" w:hAnsi="SimHei" w:eastAsia="SimHei" w:cs="SimHei"/>
          <w:sz w:val="8"/>
          <w:szCs w:val="8"/>
          <w:spacing w:val="9"/>
          <w:position w:val="4"/>
        </w:rPr>
        <w:t>打</w:t>
      </w:r>
      <w:r>
        <w:rPr>
          <w:rFonts w:ascii="SimHei" w:hAnsi="SimHei" w:eastAsia="SimHei" w:cs="SimHei"/>
          <w:sz w:val="8"/>
          <w:szCs w:val="8"/>
          <w:spacing w:val="9"/>
          <w:position w:val="4"/>
        </w:rPr>
        <w:t xml:space="preserve">                </w:t>
      </w:r>
      <w:r>
        <w:rPr>
          <w:sz w:val="32"/>
          <w:szCs w:val="32"/>
          <w:spacing w:val="9"/>
        </w:rPr>
        <w:t>等用户),不实行阶梯水价，综合水价由每立方米3.55元(其中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11"/>
        </w:rPr>
        <w:t>自来水价格2.55元，污水处理费1.00元)调整为每立方米3.70</w:t>
      </w:r>
      <w:r>
        <w:rPr>
          <w:sz w:val="32"/>
          <w:szCs w:val="32"/>
          <w:spacing w:val="13"/>
        </w:rPr>
        <w:t xml:space="preserve"> </w:t>
      </w:r>
      <w:r>
        <w:rPr>
          <w:sz w:val="32"/>
          <w:szCs w:val="32"/>
          <w:spacing w:val="16"/>
        </w:rPr>
        <w:t>元(其中自来水价格2.70元，污水处理费1.00元)。</w:t>
      </w:r>
    </w:p>
    <w:p>
      <w:pPr>
        <w:pStyle w:val="BodyText"/>
        <w:ind w:left="770" w:firstLine="799"/>
        <w:spacing w:before="2" w:line="316" w:lineRule="auto"/>
        <w:jc w:val="both"/>
        <w:rPr>
          <w:sz w:val="32"/>
          <w:szCs w:val="32"/>
        </w:rPr>
      </w:pPr>
      <w:r>
        <w:rPr>
          <w:sz w:val="32"/>
          <w:szCs w:val="32"/>
          <w:spacing w:val="3"/>
        </w:rPr>
        <w:t>(三)对城区内供水企业尚未抄表到户无法实行阶梯式计量</w:t>
      </w:r>
      <w:r>
        <w:rPr>
          <w:sz w:val="32"/>
          <w:szCs w:val="32"/>
          <w:spacing w:val="9"/>
        </w:rPr>
        <w:t xml:space="preserve"> </w:t>
      </w:r>
      <w:r>
        <w:rPr>
          <w:sz w:val="32"/>
          <w:szCs w:val="32"/>
          <w:spacing w:val="-4"/>
        </w:rPr>
        <w:t>水价的居民生活用水，暂不实行阶梯水价，执行综合水价为每立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18"/>
        </w:rPr>
        <w:t>方米3.70元(其中自来水价格2.70元，污水处理费1.00元)。</w:t>
      </w:r>
    </w:p>
    <w:p>
      <w:pPr>
        <w:ind w:left="1404"/>
        <w:spacing w:before="1" w:line="219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"/>
        </w:rPr>
        <w:t>三、执行时间</w:t>
      </w:r>
    </w:p>
    <w:p>
      <w:pPr>
        <w:pStyle w:val="BodyText"/>
        <w:ind w:left="770" w:right="45" w:firstLine="629"/>
        <w:spacing w:before="202" w:line="318" w:lineRule="auto"/>
        <w:rPr>
          <w:sz w:val="32"/>
          <w:szCs w:val="32"/>
        </w:rPr>
      </w:pPr>
      <w:r>
        <w:rPr>
          <w:sz w:val="32"/>
          <w:szCs w:val="32"/>
          <w:spacing w:val="15"/>
        </w:rPr>
        <w:t>本通知自2017年12月1日起执行。其他相</w:t>
      </w:r>
      <w:r>
        <w:rPr>
          <w:sz w:val="32"/>
          <w:szCs w:val="32"/>
          <w:spacing w:val="14"/>
        </w:rPr>
        <w:t>关事宜按照原文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9"/>
        </w:rPr>
        <w:t>件规定执行。</w:t>
      </w:r>
    </w:p>
    <w:p>
      <w:pPr>
        <w:pStyle w:val="BodyText"/>
        <w:ind w:right="46"/>
        <w:spacing w:before="18" w:line="220" w:lineRule="auto"/>
        <w:jc w:val="right"/>
        <w:rPr>
          <w:sz w:val="32"/>
          <w:szCs w:val="32"/>
        </w:rPr>
      </w:pPr>
      <w:r>
        <w:rPr>
          <w:sz w:val="32"/>
          <w:szCs w:val="32"/>
          <w:spacing w:val="-3"/>
        </w:rPr>
        <w:t>供水企业要认真做好水价政策的宣传解释工作，严格落实水</w:t>
      </w:r>
    </w:p>
    <w:p>
      <w:pPr>
        <w:spacing w:line="220" w:lineRule="auto"/>
        <w:sectPr>
          <w:pgSz w:w="11910" w:h="16850"/>
          <w:pgMar w:top="1432" w:right="1509" w:bottom="0" w:left="699" w:header="0" w:footer="0" w:gutter="0"/>
        </w:sectPr>
        <w:rPr>
          <w:sz w:val="32"/>
          <w:szCs w:val="32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879"/>
        <w:spacing w:before="97" w:line="221" w:lineRule="auto"/>
        <w:rPr>
          <w:sz w:val="30"/>
          <w:szCs w:val="30"/>
        </w:rPr>
      </w:pPr>
      <w:r>
        <w:rPr>
          <w:sz w:val="30"/>
          <w:szCs w:val="30"/>
          <w:spacing w:val="16"/>
        </w:rPr>
        <w:t>价政策，不断提高服务质量和管理水平。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519"/>
        <w:spacing w:before="97" w:line="222" w:lineRule="auto"/>
        <w:rPr>
          <w:sz w:val="30"/>
          <w:szCs w:val="30"/>
        </w:rPr>
      </w:pPr>
      <w:r>
        <w:rPr>
          <w:sz w:val="30"/>
          <w:szCs w:val="30"/>
          <w:spacing w:val="20"/>
        </w:rPr>
        <w:t>附：青岛西海岸新区居民用水阶梯价格表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firstLine="2379"/>
        <w:spacing w:line="2330" w:lineRule="exact"/>
        <w:rPr/>
      </w:pPr>
      <w:r>
        <w:pict>
          <v:shape id="_x0000_s2" style="position:absolute;margin-left:320.499pt;margin-top:87.5848pt;mso-position-vertical-relative:text;mso-position-horizontal-relative:text;width:63.95pt;height:20.1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3" w:lineRule="auto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  <w:spacing w:val="9"/>
                    </w:rPr>
                    <w:t>区城管局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4298951</wp:posOffset>
            </wp:positionH>
            <wp:positionV relativeFrom="paragraph">
              <wp:posOffset>171843</wp:posOffset>
            </wp:positionV>
            <wp:extent cx="1479520" cy="149218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9520" cy="149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6"/>
        </w:rPr>
        <w:pict>
          <v:group id="_x0000_s4" style="mso-position-vertical-relative:line;mso-position-horizontal-relative:char;width:116.5pt;height:116.55pt;" filled="false" stroked="false" coordsize="2330,2331" coordorigin="0,0">
            <v:shape id="_x0000_s6" style="position:absolute;left:0;top:0;width:2330;height:2331;" filled="false" stroked="false" type="#_x0000_t75">
              <v:imagedata o:title="" r:id="rId3"/>
            </v:shape>
            <v:shape id="_x0000_s8" style="position:absolute;left:-20;top:-20;width:2370;height:237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49"/>
                      <w:spacing w:before="97" w:line="223" w:lineRule="auto"/>
                      <w:rPr>
                        <w:rFonts w:ascii="FangSong" w:hAnsi="FangSong" w:eastAsia="FangSong" w:cs="FangSong"/>
                        <w:sz w:val="30"/>
                        <w:szCs w:val="30"/>
                      </w:rPr>
                    </w:pPr>
                    <w:r>
                      <w:rPr>
                        <w:rFonts w:ascii="FangSong" w:hAnsi="FangSong" w:eastAsia="FangSong" w:cs="FangSong"/>
                        <w:sz w:val="30"/>
                        <w:szCs w:val="30"/>
                        <w:spacing w:val="7"/>
                      </w:rPr>
                      <w:t>区发改局</w:t>
                    </w:r>
                  </w:p>
                </w:txbxContent>
              </v:textbox>
            </v:shape>
          </v:group>
        </w:pic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1631911</wp:posOffset>
            </wp:positionH>
            <wp:positionV relativeFrom="paragraph">
              <wp:posOffset>123552</wp:posOffset>
            </wp:positionV>
            <wp:extent cx="1530342" cy="1517652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2" cy="151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6419"/>
        <w:spacing w:before="97" w:line="223" w:lineRule="auto"/>
        <w:rPr>
          <w:sz w:val="30"/>
          <w:szCs w:val="30"/>
        </w:rPr>
      </w:pPr>
      <w:r>
        <w:pict>
          <v:shape id="_x0000_s10" style="position:absolute;margin-left:143.498pt;margin-top:3.39848pt;mso-position-vertical-relative:text;mso-position-horizontal-relative:text;width:64.45pt;height:20.1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3" w:lineRule="auto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  <w:spacing w:val="12"/>
                    </w:rPr>
                    <w:t>区财政局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3613151</wp:posOffset>
            </wp:positionH>
            <wp:positionV relativeFrom="paragraph">
              <wp:posOffset>-211575</wp:posOffset>
            </wp:positionV>
            <wp:extent cx="1581089" cy="1581208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089" cy="158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spacing w:val="17"/>
        </w:rPr>
        <w:t>区民政局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before="66" w:line="23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√</w:t>
      </w:r>
    </w:p>
    <w:p>
      <w:pPr>
        <w:pStyle w:val="BodyText"/>
        <w:ind w:left="5649"/>
        <w:spacing w:before="124" w:line="222" w:lineRule="auto"/>
        <w:rPr>
          <w:sz w:val="30"/>
          <w:szCs w:val="30"/>
        </w:rPr>
      </w:pPr>
      <w:r>
        <w:rPr>
          <w:sz w:val="30"/>
          <w:szCs w:val="30"/>
          <w:spacing w:val="48"/>
        </w:rPr>
        <w:t>2017年11月28日</w:t>
      </w:r>
    </w:p>
    <w:p>
      <w:pPr>
        <w:spacing w:line="222" w:lineRule="auto"/>
        <w:sectPr>
          <w:pgSz w:w="11910" w:h="16850"/>
          <w:pgMar w:top="1432" w:right="1786" w:bottom="0" w:left="640" w:header="0" w:footer="0" w:gutter="0"/>
        </w:sectPr>
        <w:rPr>
          <w:sz w:val="30"/>
          <w:szCs w:val="30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09"/>
        <w:spacing w:before="78" w:line="222" w:lineRule="auto"/>
        <w:rPr>
          <w:sz w:val="24"/>
          <w:szCs w:val="24"/>
        </w:rPr>
      </w:pPr>
      <w:r>
        <w:rPr>
          <w:sz w:val="24"/>
          <w:szCs w:val="24"/>
          <w:spacing w:val="-15"/>
        </w:rPr>
        <w:t>附</w:t>
      </w:r>
      <w:r>
        <w:rPr>
          <w:sz w:val="24"/>
          <w:szCs w:val="24"/>
          <w:spacing w:val="-13"/>
        </w:rPr>
        <w:t xml:space="preserve"> </w:t>
      </w:r>
      <w:r>
        <w:rPr>
          <w:sz w:val="24"/>
          <w:szCs w:val="24"/>
          <w:spacing w:val="-15"/>
        </w:rPr>
        <w:t>件</w:t>
      </w:r>
      <w:r>
        <w:rPr>
          <w:sz w:val="24"/>
          <w:szCs w:val="24"/>
          <w:spacing w:val="-30"/>
        </w:rPr>
        <w:t xml:space="preserve"> </w:t>
      </w:r>
      <w:r>
        <w:rPr>
          <w:sz w:val="24"/>
          <w:szCs w:val="24"/>
          <w:spacing w:val="-15"/>
        </w:rPr>
        <w:t>：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556"/>
        <w:spacing w:before="143" w:line="218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3"/>
        </w:rPr>
        <w:t>青岛西海岸新区城市居民用水阶梯价格表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ind w:left="6869"/>
        <w:spacing w:before="88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2"/>
        </w:rPr>
        <w:t>单位：元/立方米</w:t>
      </w:r>
    </w:p>
    <w:p>
      <w:pPr>
        <w:spacing w:line="23" w:lineRule="exact"/>
        <w:rPr/>
      </w:pPr>
      <w:r/>
    </w:p>
    <w:tbl>
      <w:tblPr>
        <w:tblStyle w:val="TableNormal"/>
        <w:tblW w:w="9090" w:type="dxa"/>
        <w:tblInd w:w="7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461"/>
        <w:gridCol w:w="1468"/>
        <w:gridCol w:w="1748"/>
        <w:gridCol w:w="2413"/>
      </w:tblGrid>
      <w:tr>
        <w:trPr>
          <w:trHeight w:val="903" w:hRule="atLeast"/>
        </w:trPr>
        <w:tc>
          <w:tcPr>
            <w:tcW w:w="3461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2268"/>
              <w:spacing w:before="22" w:line="220" w:lineRule="auto"/>
              <w:rPr/>
            </w:pPr>
            <w:r>
              <w:rPr>
                <w:b/>
                <w:bCs/>
                <w:spacing w:val="16"/>
              </w:rPr>
              <w:t>项目</w:t>
            </w:r>
          </w:p>
          <w:p>
            <w:pPr>
              <w:pStyle w:val="TableText"/>
              <w:ind w:left="118"/>
              <w:spacing w:before="302" w:line="217" w:lineRule="auto"/>
              <w:rPr/>
            </w:pPr>
            <w:r>
              <w:rPr>
                <w:b/>
                <w:bCs/>
                <w:spacing w:val="-8"/>
              </w:rPr>
              <w:t>类</w:t>
            </w:r>
            <w:r>
              <w:rPr>
                <w:spacing w:val="27"/>
              </w:rPr>
              <w:t xml:space="preserve">  </w:t>
            </w:r>
            <w:r>
              <w:rPr>
                <w:b/>
                <w:bCs/>
                <w:spacing w:val="-8"/>
              </w:rPr>
              <w:t>别</w:t>
            </w:r>
          </w:p>
        </w:tc>
        <w:tc>
          <w:tcPr>
            <w:tcW w:w="146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8" w:line="218" w:lineRule="auto"/>
              <w:rPr/>
            </w:pPr>
            <w:r>
              <w:rPr>
                <w:b/>
                <w:bCs/>
                <w:spacing w:val="-2"/>
              </w:rPr>
              <w:t>自来水价格</w:t>
            </w:r>
          </w:p>
        </w:tc>
        <w:tc>
          <w:tcPr>
            <w:tcW w:w="174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78" w:line="219" w:lineRule="auto"/>
              <w:rPr/>
            </w:pPr>
            <w:r>
              <w:rPr>
                <w:b/>
                <w:bCs/>
                <w:spacing w:val="-5"/>
              </w:rPr>
              <w:t>污水处理费</w:t>
            </w:r>
          </w:p>
        </w:tc>
        <w:tc>
          <w:tcPr>
            <w:tcW w:w="241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1"/>
              <w:spacing w:before="78" w:line="218" w:lineRule="auto"/>
              <w:rPr/>
            </w:pPr>
            <w:r>
              <w:rPr>
                <w:b/>
                <w:bCs/>
                <w:spacing w:val="-5"/>
              </w:rPr>
              <w:t>综合水价</w:t>
            </w:r>
          </w:p>
        </w:tc>
      </w:tr>
      <w:tr>
        <w:trPr>
          <w:trHeight w:val="638" w:hRule="atLeast"/>
        </w:trPr>
        <w:tc>
          <w:tcPr>
            <w:tcW w:w="3461" w:type="dxa"/>
            <w:vAlign w:val="top"/>
          </w:tcPr>
          <w:p>
            <w:pPr>
              <w:pStyle w:val="TableText"/>
              <w:ind w:left="114"/>
              <w:spacing w:before="202" w:line="219" w:lineRule="auto"/>
              <w:rPr/>
            </w:pPr>
            <w:r>
              <w:rPr>
                <w:spacing w:val="15"/>
              </w:rPr>
              <w:t>一档(A≤144m³)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483"/>
              <w:spacing w:before="225" w:line="239" w:lineRule="auto"/>
              <w:rPr/>
            </w:pPr>
            <w:r>
              <w:rPr>
                <w:spacing w:val="-3"/>
              </w:rPr>
              <w:t>2.50</w:t>
            </w:r>
          </w:p>
        </w:tc>
        <w:tc>
          <w:tcPr>
            <w:tcW w:w="1748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5"/>
              <w:spacing w:before="78" w:line="239" w:lineRule="auto"/>
              <w:rPr/>
            </w:pPr>
            <w:r>
              <w:rPr>
                <w:spacing w:val="-6"/>
              </w:rPr>
              <w:t>1.00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957"/>
              <w:spacing w:before="225" w:line="239" w:lineRule="auto"/>
              <w:rPr/>
            </w:pPr>
            <w:r>
              <w:rPr>
                <w:spacing w:val="-3"/>
              </w:rPr>
              <w:t>3.50</w:t>
            </w:r>
          </w:p>
        </w:tc>
      </w:tr>
      <w:tr>
        <w:trPr>
          <w:trHeight w:val="599" w:hRule="atLeast"/>
        </w:trPr>
        <w:tc>
          <w:tcPr>
            <w:tcW w:w="3461" w:type="dxa"/>
            <w:vAlign w:val="top"/>
          </w:tcPr>
          <w:p>
            <w:pPr>
              <w:pStyle w:val="TableText"/>
              <w:ind w:left="114"/>
              <w:spacing w:before="184" w:line="219" w:lineRule="auto"/>
              <w:rPr/>
            </w:pPr>
            <w:r>
              <w:rPr>
                <w:spacing w:val="11"/>
              </w:rPr>
              <w:t>二档(144&lt;A≤204m³)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483"/>
              <w:spacing w:before="207" w:line="239" w:lineRule="auto"/>
              <w:rPr/>
            </w:pPr>
            <w:r>
              <w:rPr>
                <w:spacing w:val="-3"/>
              </w:rPr>
              <w:t>3.65</w:t>
            </w:r>
          </w:p>
        </w:tc>
        <w:tc>
          <w:tcPr>
            <w:tcW w:w="17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3" w:type="dxa"/>
            <w:vAlign w:val="top"/>
          </w:tcPr>
          <w:p>
            <w:pPr>
              <w:pStyle w:val="TableText"/>
              <w:ind w:left="957"/>
              <w:spacing w:before="207" w:line="239" w:lineRule="auto"/>
              <w:rPr/>
            </w:pPr>
            <w:r>
              <w:rPr>
                <w:spacing w:val="-2"/>
              </w:rPr>
              <w:t>4.65</w:t>
            </w:r>
          </w:p>
        </w:tc>
      </w:tr>
      <w:tr>
        <w:trPr>
          <w:trHeight w:val="369" w:hRule="atLeast"/>
        </w:trPr>
        <w:tc>
          <w:tcPr>
            <w:tcW w:w="3461" w:type="dxa"/>
            <w:vAlign w:val="top"/>
          </w:tcPr>
          <w:p>
            <w:pPr>
              <w:pStyle w:val="TableText"/>
              <w:ind w:left="114"/>
              <w:spacing w:before="74" w:line="219" w:lineRule="auto"/>
              <w:rPr/>
            </w:pPr>
            <w:r>
              <w:rPr>
                <w:spacing w:val="15"/>
              </w:rPr>
              <w:t>三档(A&gt;204m³)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483"/>
              <w:spacing w:before="99" w:line="200" w:lineRule="auto"/>
              <w:rPr/>
            </w:pPr>
            <w:r>
              <w:rPr>
                <w:spacing w:val="-3"/>
              </w:rPr>
              <w:t>7.00</w:t>
            </w:r>
          </w:p>
        </w:tc>
        <w:tc>
          <w:tcPr>
            <w:tcW w:w="17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3" w:type="dxa"/>
            <w:vAlign w:val="top"/>
          </w:tcPr>
          <w:p>
            <w:pPr>
              <w:pStyle w:val="TableText"/>
              <w:ind w:left="957"/>
              <w:spacing w:before="99" w:line="200" w:lineRule="auto"/>
              <w:rPr/>
            </w:pPr>
            <w:r>
              <w:rPr>
                <w:spacing w:val="-2"/>
              </w:rPr>
              <w:t>8.00</w:t>
            </w:r>
          </w:p>
        </w:tc>
      </w:tr>
      <w:tr>
        <w:trPr>
          <w:trHeight w:val="698" w:hRule="atLeast"/>
        </w:trPr>
        <w:tc>
          <w:tcPr>
            <w:tcW w:w="3461" w:type="dxa"/>
            <w:vAlign w:val="top"/>
          </w:tcPr>
          <w:p>
            <w:pPr>
              <w:pStyle w:val="TableText"/>
              <w:ind w:left="275"/>
              <w:spacing w:before="233" w:line="218" w:lineRule="auto"/>
              <w:rPr/>
            </w:pPr>
            <w:r>
              <w:rPr>
                <w:spacing w:val="2"/>
              </w:rPr>
              <w:t>执行居民水价的非居民用户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483"/>
              <w:spacing w:before="259" w:line="239" w:lineRule="auto"/>
              <w:rPr/>
            </w:pPr>
            <w:r>
              <w:rPr>
                <w:spacing w:val="-3"/>
              </w:rPr>
              <w:t>2.70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625"/>
              <w:spacing w:before="259" w:line="239" w:lineRule="auto"/>
              <w:rPr/>
            </w:pPr>
            <w:r>
              <w:rPr>
                <w:spacing w:val="-6"/>
              </w:rPr>
              <w:t>1.00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957"/>
              <w:spacing w:before="259" w:line="239" w:lineRule="auto"/>
              <w:rPr/>
            </w:pPr>
            <w:r>
              <w:rPr>
                <w:spacing w:val="-3"/>
              </w:rPr>
              <w:t>3.70</w:t>
            </w:r>
          </w:p>
        </w:tc>
      </w:tr>
      <w:tr>
        <w:trPr>
          <w:trHeight w:val="1432" w:hRule="atLeast"/>
        </w:trPr>
        <w:tc>
          <w:tcPr>
            <w:tcW w:w="346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5"/>
              <w:spacing w:before="78" w:line="221" w:lineRule="auto"/>
              <w:rPr/>
            </w:pPr>
            <w:r>
              <w:rPr>
                <w:spacing w:val="-1"/>
              </w:rPr>
              <w:t>备注：</w:t>
            </w:r>
          </w:p>
        </w:tc>
        <w:tc>
          <w:tcPr>
            <w:tcW w:w="5629" w:type="dxa"/>
            <w:vAlign w:val="top"/>
            <w:gridSpan w:val="3"/>
          </w:tcPr>
          <w:p>
            <w:pPr>
              <w:pStyle w:val="TableText"/>
              <w:ind w:left="593"/>
              <w:spacing w:before="108" w:line="219" w:lineRule="auto"/>
              <w:rPr/>
            </w:pPr>
            <w:r>
              <w:rPr/>
              <w:t>1、A为居民户年用水量</w:t>
            </w:r>
          </w:p>
          <w:p>
            <w:pPr>
              <w:pStyle w:val="TableText"/>
              <w:ind w:left="113" w:firstLine="461"/>
              <w:spacing w:before="62" w:line="248" w:lineRule="auto"/>
              <w:rPr/>
            </w:pPr>
            <w:r>
              <w:rPr>
                <w:spacing w:val="-6"/>
              </w:rPr>
              <w:t>2、执行居民用水价格的非居民用户范围：部队、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学校、托幼、社会福利场所及社区服务设施中非经营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部分等用户。</w:t>
            </w:r>
          </w:p>
        </w:tc>
      </w:tr>
    </w:tbl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>
        <w:pict>
          <v:shape id="_x0000_s12" style="position:absolute;margin-left:0.25pt;margin-top:10.6713pt;mso-position-vertical-relative:text;mso-position-horizontal-relative:text;width:454pt;height:0.5pt;z-index:251663360;" filled="false" strokecolor="#000000" strokeweight="0.50pt" coordsize="9080,10" coordorigin="0,0" path="m0,5l5450,5m5450,5l9079,5e">
            <v:stroke joinstyle="miter" miterlimit="10"/>
          </v:shape>
        </w:pict>
      </w:r>
      <w:r/>
    </w:p>
    <w:p>
      <w:pPr>
        <w:ind w:left="20"/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u w:val="single" w:color="auto"/>
          <w:spacing w:val="2"/>
        </w:rPr>
        <w:t>青岛西海岸新区发展和改革局办公室            2017年11月28日印发</w:t>
      </w:r>
    </w:p>
    <w:sectPr>
      <w:pgSz w:w="11910" w:h="16850"/>
      <w:pgMar w:top="1432" w:right="1344" w:bottom="0" w:left="14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2025-06-11T15:07:53Z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2025-06-11T15:07:53</vt:filetime>
  </property>
  <property fmtid="{D5CDD505-2E9C-101B-9397-08002B2CF9AE}" pid="4" name="UsrData">
    <vt:lpwstr>68492b467ff865001f74a99fwl</vt:lpwstr>
  </property>
</Properties>
</file>